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114" w:rsidRPr="00DD31E4" w:rsidRDefault="006F4114" w:rsidP="006F4114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b/>
          <w:lang w:val="en-US"/>
        </w:rPr>
      </w:pPr>
      <w:bookmarkStart w:id="0" w:name="_GoBack"/>
      <w:bookmarkEnd w:id="0"/>
      <w:r w:rsidRPr="00DD31E4">
        <w:rPr>
          <w:rFonts w:ascii="Open Sans" w:eastAsia="Times New Roman" w:hAnsi="Open Sans" w:cs="Open Sans"/>
          <w:b/>
          <w:lang w:val="en-US"/>
        </w:rPr>
        <w:t>COST-BENEFIT ANALYS</w:t>
      </w:r>
      <w:r w:rsidR="00DA3E58" w:rsidRPr="00DD31E4">
        <w:rPr>
          <w:rFonts w:ascii="Open Sans" w:eastAsia="Times New Roman" w:hAnsi="Open Sans" w:cs="Open Sans"/>
          <w:b/>
          <w:lang w:val="en-US"/>
        </w:rPr>
        <w:t>I</w:t>
      </w:r>
      <w:r w:rsidRPr="00DD31E4">
        <w:rPr>
          <w:rFonts w:ascii="Open Sans" w:eastAsia="Times New Roman" w:hAnsi="Open Sans" w:cs="Open Sans"/>
          <w:b/>
          <w:lang w:val="en-US"/>
        </w:rPr>
        <w:t>S</w:t>
      </w:r>
      <w:r w:rsidR="008137C8" w:rsidRPr="00DD31E4">
        <w:rPr>
          <w:rFonts w:ascii="Open Sans" w:eastAsia="Times New Roman" w:hAnsi="Open Sans" w:cs="Open Sans"/>
          <w:b/>
          <w:lang w:val="en-US"/>
        </w:rPr>
        <w:t xml:space="preserve"> </w:t>
      </w:r>
    </w:p>
    <w:p w:rsidR="006F4114" w:rsidRDefault="00DA3E58" w:rsidP="006F4114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i/>
          <w:lang w:val="en-US"/>
        </w:rPr>
      </w:pPr>
      <w:r w:rsidRPr="00DD31E4">
        <w:rPr>
          <w:rFonts w:ascii="Open Sans" w:eastAsia="Times New Roman" w:hAnsi="Open Sans" w:cs="Open Sans"/>
          <w:i/>
          <w:lang w:val="en-US"/>
        </w:rPr>
        <w:t>Minimum required format</w:t>
      </w:r>
    </w:p>
    <w:p w:rsidR="00DD31E4" w:rsidRPr="00DD31E4" w:rsidRDefault="00DD31E4" w:rsidP="006F4114">
      <w:pPr>
        <w:shd w:val="clear" w:color="auto" w:fill="FFFFFF"/>
        <w:spacing w:after="150" w:line="345" w:lineRule="atLeast"/>
        <w:jc w:val="center"/>
        <w:rPr>
          <w:rFonts w:ascii="Open Sans" w:eastAsia="Times New Roman" w:hAnsi="Open Sans" w:cs="Open Sans"/>
          <w:i/>
          <w:lang w:val="en-US"/>
        </w:rPr>
      </w:pPr>
    </w:p>
    <w:p w:rsidR="006F4114" w:rsidRPr="00DD31E4" w:rsidRDefault="00DD31E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E84004">
        <w:rPr>
          <w:rFonts w:ascii="Open Sans" w:hAnsi="Open Sans" w:cs="Open Sans"/>
        </w:rPr>
        <w:t>This annex will be filled in only for investment projects, regardless their estimated total value.</w:t>
      </w:r>
      <w:r w:rsidR="006F4114" w:rsidRPr="00DD31E4">
        <w:rPr>
          <w:rFonts w:ascii="Open Sans" w:eastAsia="Times New Roman" w:hAnsi="Open Sans" w:cs="Open Sans"/>
          <w:bCs/>
          <w:lang w:val="en-US"/>
        </w:rPr>
        <w:t>1.</w:t>
      </w:r>
      <w:r w:rsidR="006F4114" w:rsidRPr="00DD31E4">
        <w:rPr>
          <w:rFonts w:ascii="Open Sans" w:eastAsia="Times New Roman" w:hAnsi="Open Sans" w:cs="Open Sans"/>
          <w:lang w:val="en-US"/>
        </w:rPr>
        <w:t xml:space="preserve"> Identification of </w:t>
      </w:r>
      <w:r w:rsidR="0067054C" w:rsidRPr="00DD31E4">
        <w:rPr>
          <w:rFonts w:ascii="Open Sans" w:eastAsia="Times New Roman" w:hAnsi="Open Sans" w:cs="Open Sans"/>
          <w:lang w:val="en-US"/>
        </w:rPr>
        <w:t>project/</w:t>
      </w:r>
      <w:r w:rsidR="006F4114" w:rsidRPr="00DD31E4">
        <w:rPr>
          <w:rFonts w:ascii="Open Sans" w:eastAsia="Times New Roman" w:hAnsi="Open Sans" w:cs="Open Sans"/>
          <w:lang w:val="en-US"/>
        </w:rPr>
        <w:t xml:space="preserve">investment and definition of the objectives, including the estimated duration of the implementation; 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bCs/>
          <w:lang w:val="en-US"/>
        </w:rPr>
        <w:t>2.</w:t>
      </w:r>
      <w:r w:rsidRPr="00DD31E4">
        <w:rPr>
          <w:rFonts w:ascii="Open Sans" w:eastAsia="Times New Roman" w:hAnsi="Open Sans" w:cs="Open Sans"/>
          <w:lang w:val="en-US"/>
        </w:rPr>
        <w:t> Analysis of the possible options;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bCs/>
          <w:lang w:val="en-US"/>
        </w:rPr>
        <w:t>3.</w:t>
      </w:r>
      <w:r w:rsidRPr="00DD31E4">
        <w:rPr>
          <w:rFonts w:ascii="Open Sans" w:eastAsia="Times New Roman" w:hAnsi="Open Sans" w:cs="Open Sans"/>
          <w:lang w:val="en-US"/>
        </w:rPr>
        <w:t> Financial analysis</w:t>
      </w:r>
      <w:r w:rsidRPr="00DD31E4">
        <w:rPr>
          <w:rStyle w:val="FootnoteReference"/>
          <w:rFonts w:ascii="Open Sans" w:eastAsia="Times New Roman" w:hAnsi="Open Sans" w:cs="Open Sans"/>
          <w:lang w:val="en-US"/>
        </w:rPr>
        <w:footnoteReference w:id="1"/>
      </w:r>
      <w:r w:rsidRPr="00DD31E4">
        <w:rPr>
          <w:rFonts w:ascii="Open Sans" w:eastAsia="Times New Roman" w:hAnsi="Open Sans" w:cs="Open Sans"/>
          <w:lang w:val="en-US"/>
        </w:rPr>
        <w:t>, including calculation of the financial performance indicators: cumulated flow, the actual net value, internal returns rate and the cost-benefit report;</w:t>
      </w:r>
    </w:p>
    <w:p w:rsidR="00496D33" w:rsidRPr="00DD31E4" w:rsidRDefault="00496D33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lang w:val="en-US"/>
        </w:rPr>
        <w:t>The main objective of the financial analysis is to compute the project’s financial performance indicators – it’s profitability. The time horizon to be considered for the financial analysis of projects financed under t</w:t>
      </w:r>
      <w:r w:rsidR="00493DC6" w:rsidRPr="00DD31E4">
        <w:rPr>
          <w:rFonts w:ascii="Open Sans" w:eastAsia="Times New Roman" w:hAnsi="Open Sans" w:cs="Open Sans"/>
          <w:lang w:val="en-US"/>
        </w:rPr>
        <w:t>his call is recommended to be 20</w:t>
      </w:r>
      <w:r w:rsidRPr="00DD31E4">
        <w:rPr>
          <w:rFonts w:ascii="Open Sans" w:eastAsia="Times New Roman" w:hAnsi="Open Sans" w:cs="Open Sans"/>
          <w:lang w:val="en-US"/>
        </w:rPr>
        <w:t xml:space="preserve"> years.</w:t>
      </w:r>
    </w:p>
    <w:p w:rsidR="006F4114" w:rsidRPr="00DD31E4" w:rsidRDefault="006B446F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bCs/>
          <w:lang w:val="en-US"/>
        </w:rPr>
        <w:t>4</w:t>
      </w:r>
      <w:r w:rsidR="006F4114" w:rsidRPr="00DD31E4">
        <w:rPr>
          <w:rFonts w:ascii="Open Sans" w:eastAsia="Times New Roman" w:hAnsi="Open Sans" w:cs="Open Sans"/>
          <w:bCs/>
          <w:lang w:val="en-US"/>
        </w:rPr>
        <w:t>.</w:t>
      </w:r>
      <w:r w:rsidR="006F4114" w:rsidRPr="00DD31E4">
        <w:rPr>
          <w:rFonts w:ascii="Open Sans" w:eastAsia="Times New Roman" w:hAnsi="Open Sans" w:cs="Open Sans"/>
          <w:lang w:val="en-US"/>
        </w:rPr>
        <w:t> Risk analysis;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lang w:val="en-US"/>
        </w:rPr>
        <w:t xml:space="preserve">Financial sources for the </w:t>
      </w:r>
      <w:r w:rsidR="00A1328B" w:rsidRPr="00DD31E4">
        <w:rPr>
          <w:rFonts w:ascii="Open Sans" w:eastAsia="Times New Roman" w:hAnsi="Open Sans" w:cs="Open Sans"/>
          <w:lang w:val="en-US"/>
        </w:rPr>
        <w:t>project</w:t>
      </w:r>
      <w:r w:rsidRPr="00DD31E4">
        <w:rPr>
          <w:rFonts w:ascii="Open Sans" w:eastAsia="Times New Roman" w:hAnsi="Open Sans" w:cs="Open Sans"/>
          <w:lang w:val="en-US"/>
        </w:rPr>
        <w:t>: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lang w:val="en-US"/>
        </w:rPr>
        <w:t xml:space="preserve">The financing sources for the </w:t>
      </w:r>
      <w:r w:rsidR="00A1328B" w:rsidRPr="00DD31E4">
        <w:rPr>
          <w:rFonts w:ascii="Open Sans" w:eastAsia="Times New Roman" w:hAnsi="Open Sans" w:cs="Open Sans"/>
          <w:lang w:val="en-US"/>
        </w:rPr>
        <w:t>project</w:t>
      </w:r>
      <w:r w:rsidRPr="00DD31E4">
        <w:rPr>
          <w:rFonts w:ascii="Open Sans" w:eastAsia="Times New Roman" w:hAnsi="Open Sans" w:cs="Open Sans"/>
          <w:lang w:val="en-US"/>
        </w:rPr>
        <w:t xml:space="preserve"> must be in compliance with the valid legislation, as it follows: own funds, banking loans, state budget/local public budget and external loans, contracted or guaranteed by the state, grants or other legal sources;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lang w:val="en-US"/>
        </w:rPr>
        <w:t>Estimated number of jobs created: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bCs/>
          <w:lang w:val="en-US"/>
        </w:rPr>
        <w:t>1.</w:t>
      </w:r>
      <w:r w:rsidRPr="00DD31E4">
        <w:rPr>
          <w:rFonts w:ascii="Open Sans" w:eastAsia="Times New Roman" w:hAnsi="Open Sans" w:cs="Open Sans"/>
          <w:lang w:val="en-US"/>
        </w:rPr>
        <w:t> No. of jobs created in the execution/implementation phase;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bCs/>
          <w:lang w:val="en-US"/>
        </w:rPr>
        <w:t>2.</w:t>
      </w:r>
      <w:r w:rsidRPr="00DD31E4">
        <w:rPr>
          <w:rFonts w:ascii="Open Sans" w:eastAsia="Times New Roman" w:hAnsi="Open Sans" w:cs="Open Sans"/>
          <w:lang w:val="en-US"/>
        </w:rPr>
        <w:t> No. of jobs created in the operation phase (post-implementation);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lang w:val="en-US"/>
        </w:rPr>
        <w:t xml:space="preserve">Main technical and economic indicators of the </w:t>
      </w:r>
      <w:r w:rsidR="00A1328B" w:rsidRPr="00DD31E4">
        <w:rPr>
          <w:rFonts w:ascii="Open Sans" w:eastAsia="Times New Roman" w:hAnsi="Open Sans" w:cs="Open Sans"/>
          <w:lang w:val="en-US"/>
        </w:rPr>
        <w:t>project</w:t>
      </w:r>
      <w:r w:rsidRPr="00DD31E4">
        <w:rPr>
          <w:rFonts w:ascii="Open Sans" w:eastAsia="Times New Roman" w:hAnsi="Open Sans" w:cs="Open Sans"/>
          <w:lang w:val="en-US"/>
        </w:rPr>
        <w:t>: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bCs/>
          <w:lang w:val="en-US"/>
        </w:rPr>
        <w:t>1.</w:t>
      </w:r>
      <w:r w:rsidRPr="00DD31E4">
        <w:rPr>
          <w:rFonts w:ascii="Open Sans" w:eastAsia="Times New Roman" w:hAnsi="Open Sans" w:cs="Open Sans"/>
          <w:lang w:val="en-US"/>
        </w:rPr>
        <w:t xml:space="preserve"> Total value, </w:t>
      </w:r>
      <w:r w:rsidR="006B446F" w:rsidRPr="00DD31E4">
        <w:rPr>
          <w:rFonts w:ascii="Open Sans" w:eastAsia="Times New Roman" w:hAnsi="Open Sans" w:cs="Open Sans"/>
          <w:lang w:val="en-US"/>
        </w:rPr>
        <w:t>including</w:t>
      </w:r>
      <w:r w:rsidRPr="00DD31E4">
        <w:rPr>
          <w:rFonts w:ascii="Open Sans" w:eastAsia="Times New Roman" w:hAnsi="Open Sans" w:cs="Open Sans"/>
          <w:lang w:val="en-US"/>
        </w:rPr>
        <w:t xml:space="preserve"> VAT (RON/HUF)  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lang w:val="en-US"/>
        </w:rPr>
        <w:t xml:space="preserve"> (Month/year, 1 euro = ..... RON/HUF),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bCs/>
          <w:lang w:val="en-US"/>
        </w:rPr>
        <w:t>2.</w:t>
      </w:r>
      <w:r w:rsidRPr="00DD31E4">
        <w:rPr>
          <w:rFonts w:ascii="Open Sans" w:eastAsia="Times New Roman" w:hAnsi="Open Sans" w:cs="Open Sans"/>
          <w:lang w:val="en-US"/>
        </w:rPr>
        <w:t> </w:t>
      </w:r>
      <w:r w:rsidR="006B446F" w:rsidRPr="00DD31E4">
        <w:rPr>
          <w:rFonts w:ascii="Open Sans" w:eastAsia="Times New Roman" w:hAnsi="Open Sans" w:cs="Open Sans"/>
          <w:lang w:val="en-US"/>
        </w:rPr>
        <w:t>Time s</w:t>
      </w:r>
      <w:r w:rsidRPr="00DD31E4">
        <w:rPr>
          <w:rFonts w:ascii="Open Sans" w:eastAsia="Times New Roman" w:hAnsi="Open Sans" w:cs="Open Sans"/>
          <w:lang w:val="en-US"/>
        </w:rPr>
        <w:t>chedule of the works;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bCs/>
          <w:lang w:val="en-US"/>
        </w:rPr>
        <w:t>-</w:t>
      </w:r>
      <w:r w:rsidRPr="00DD31E4">
        <w:rPr>
          <w:rFonts w:ascii="Open Sans" w:eastAsia="Times New Roman" w:hAnsi="Open Sans" w:cs="Open Sans"/>
          <w:lang w:val="en-US"/>
        </w:rPr>
        <w:t> Year I;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bCs/>
          <w:lang w:val="en-US"/>
        </w:rPr>
        <w:t>-</w:t>
      </w:r>
      <w:r w:rsidRPr="00DD31E4">
        <w:rPr>
          <w:rFonts w:ascii="Open Sans" w:eastAsia="Times New Roman" w:hAnsi="Open Sans" w:cs="Open Sans"/>
          <w:lang w:val="en-US"/>
        </w:rPr>
        <w:t> Year II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lang w:val="en-US"/>
        </w:rPr>
        <w:lastRenderedPageBreak/>
        <w:t>.................;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bCs/>
          <w:lang w:val="en-US"/>
        </w:rPr>
        <w:t>3.</w:t>
      </w:r>
      <w:r w:rsidRPr="00DD31E4">
        <w:rPr>
          <w:rFonts w:ascii="Open Sans" w:eastAsia="Times New Roman" w:hAnsi="Open Sans" w:cs="Open Sans"/>
          <w:lang w:val="en-US"/>
        </w:rPr>
        <w:t> Duration (months);</w:t>
      </w:r>
    </w:p>
    <w:p w:rsidR="006F4114" w:rsidRPr="00DD31E4" w:rsidRDefault="006F4114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  <w:r w:rsidRPr="00DD31E4">
        <w:rPr>
          <w:rFonts w:ascii="Open Sans" w:eastAsia="Times New Roman" w:hAnsi="Open Sans" w:cs="Open Sans"/>
          <w:bCs/>
          <w:lang w:val="en-US"/>
        </w:rPr>
        <w:t>4.</w:t>
      </w:r>
      <w:r w:rsidRPr="00DD31E4">
        <w:rPr>
          <w:rFonts w:ascii="Open Sans" w:eastAsia="Times New Roman" w:hAnsi="Open Sans" w:cs="Open Sans"/>
          <w:lang w:val="en-US"/>
        </w:rPr>
        <w:t> Resources (quantities and values);</w:t>
      </w:r>
    </w:p>
    <w:p w:rsidR="0067054C" w:rsidRPr="00DD31E4" w:rsidRDefault="0067054C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</w:p>
    <w:p w:rsidR="00AF2257" w:rsidRPr="00DD31E4" w:rsidRDefault="00154820" w:rsidP="00AF2257">
      <w:pPr>
        <w:autoSpaceDE w:val="0"/>
        <w:autoSpaceDN w:val="0"/>
        <w:adjustRightInd w:val="0"/>
        <w:spacing w:before="120" w:after="120"/>
        <w:rPr>
          <w:rFonts w:ascii="Open Sans" w:hAnsi="Open Sans" w:cs="Open Sans"/>
          <w:szCs w:val="23"/>
        </w:rPr>
      </w:pPr>
      <w:r w:rsidRPr="00DD31E4">
        <w:rPr>
          <w:rFonts w:ascii="Open Sans" w:hAnsi="Open Sans" w:cs="Open Sans"/>
          <w:szCs w:val="23"/>
        </w:rPr>
        <w:t>5</w:t>
      </w:r>
      <w:r w:rsidR="00AF2257" w:rsidRPr="00DD31E4">
        <w:rPr>
          <w:rFonts w:ascii="Open Sans" w:hAnsi="Open Sans" w:cs="Open Sans"/>
          <w:szCs w:val="23"/>
        </w:rPr>
        <w:t>. Main elements and parameters used for the financial analysis;</w:t>
      </w:r>
    </w:p>
    <w:tbl>
      <w:tblPr>
        <w:tblW w:w="1007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"/>
        <w:gridCol w:w="2590"/>
        <w:gridCol w:w="1981"/>
        <w:gridCol w:w="2340"/>
        <w:gridCol w:w="2698"/>
      </w:tblGrid>
      <w:tr w:rsidR="00AF2257" w:rsidRPr="00412EBA" w:rsidTr="00154820">
        <w:trPr>
          <w:cantSplit/>
          <w:trHeight w:val="620"/>
        </w:trPr>
        <w:tc>
          <w:tcPr>
            <w:tcW w:w="469" w:type="dxa"/>
            <w:vMerge w:val="restart"/>
          </w:tcPr>
          <w:p w:rsidR="00AF2257" w:rsidRPr="00DD31E4" w:rsidRDefault="00AF2257" w:rsidP="00D8037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b/>
                <w:bCs/>
                <w:szCs w:val="23"/>
              </w:rPr>
            </w:pPr>
          </w:p>
        </w:tc>
        <w:tc>
          <w:tcPr>
            <w:tcW w:w="4571" w:type="dxa"/>
            <w:gridSpan w:val="2"/>
            <w:vMerge w:val="restart"/>
          </w:tcPr>
          <w:p w:rsidR="00AF2257" w:rsidRPr="00DD31E4" w:rsidRDefault="00AF2257" w:rsidP="00D8037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b/>
                <w:bCs/>
                <w:szCs w:val="23"/>
              </w:rPr>
            </w:pPr>
            <w:r w:rsidRPr="00DD31E4">
              <w:rPr>
                <w:rFonts w:ascii="Open Sans" w:hAnsi="Open Sans" w:cs="Open Sans"/>
                <w:b/>
                <w:bCs/>
                <w:szCs w:val="23"/>
              </w:rPr>
              <w:t>Parameter</w:t>
            </w:r>
          </w:p>
        </w:tc>
        <w:tc>
          <w:tcPr>
            <w:tcW w:w="2340" w:type="dxa"/>
          </w:tcPr>
          <w:p w:rsidR="00AF2257" w:rsidRPr="00DD31E4" w:rsidRDefault="00AF2257" w:rsidP="00D8037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b/>
                <w:bCs/>
                <w:szCs w:val="23"/>
              </w:rPr>
            </w:pPr>
            <w:r w:rsidRPr="00DD31E4">
              <w:rPr>
                <w:rFonts w:ascii="Open Sans" w:hAnsi="Open Sans" w:cs="Open Sans"/>
                <w:b/>
                <w:bCs/>
                <w:szCs w:val="23"/>
              </w:rPr>
              <w:t>Undiscounted value</w:t>
            </w:r>
          </w:p>
        </w:tc>
        <w:tc>
          <w:tcPr>
            <w:tcW w:w="2698" w:type="dxa"/>
          </w:tcPr>
          <w:p w:rsidR="00AF2257" w:rsidRPr="00DD31E4" w:rsidRDefault="00AF2257" w:rsidP="00D8037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b/>
                <w:bCs/>
                <w:szCs w:val="23"/>
              </w:rPr>
            </w:pPr>
            <w:r w:rsidRPr="00DD31E4">
              <w:rPr>
                <w:rFonts w:ascii="Open Sans" w:hAnsi="Open Sans" w:cs="Open Sans"/>
                <w:b/>
                <w:bCs/>
                <w:szCs w:val="23"/>
              </w:rPr>
              <w:t>Discounted value (present)</w:t>
            </w:r>
          </w:p>
        </w:tc>
      </w:tr>
      <w:tr w:rsidR="00AF2257" w:rsidRPr="00412EBA" w:rsidTr="00154820">
        <w:trPr>
          <w:cantSplit/>
          <w:trHeight w:val="323"/>
        </w:trPr>
        <w:tc>
          <w:tcPr>
            <w:tcW w:w="469" w:type="dxa"/>
            <w:vMerge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b/>
                <w:bCs/>
                <w:szCs w:val="23"/>
              </w:rPr>
            </w:pPr>
          </w:p>
        </w:tc>
        <w:tc>
          <w:tcPr>
            <w:tcW w:w="4571" w:type="dxa"/>
            <w:gridSpan w:val="2"/>
            <w:vMerge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b/>
                <w:bCs/>
                <w:szCs w:val="23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b/>
                <w:bCs/>
                <w:szCs w:val="23"/>
              </w:rPr>
            </w:pPr>
            <w:r w:rsidRPr="008756D1">
              <w:rPr>
                <w:rFonts w:ascii="Open Sans" w:hAnsi="Open Sans" w:cs="Open Sans"/>
                <w:b/>
                <w:bCs/>
                <w:szCs w:val="23"/>
              </w:rPr>
              <w:t>EUR</w:t>
            </w:r>
          </w:p>
        </w:tc>
        <w:tc>
          <w:tcPr>
            <w:tcW w:w="2698" w:type="dxa"/>
            <w:tcBorders>
              <w:bottom w:val="single" w:sz="4" w:space="0" w:color="auto"/>
            </w:tcBorders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b/>
                <w:bCs/>
                <w:szCs w:val="23"/>
              </w:rPr>
            </w:pPr>
            <w:r w:rsidRPr="008756D1">
              <w:rPr>
                <w:rFonts w:ascii="Open Sans" w:hAnsi="Open Sans" w:cs="Open Sans"/>
                <w:b/>
                <w:bCs/>
                <w:szCs w:val="23"/>
              </w:rPr>
              <w:t>EUR</w:t>
            </w:r>
          </w:p>
        </w:tc>
      </w:tr>
      <w:tr w:rsidR="00AF2257" w:rsidRPr="00412EBA" w:rsidTr="00AF2257">
        <w:tc>
          <w:tcPr>
            <w:tcW w:w="469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1</w:t>
            </w:r>
          </w:p>
        </w:tc>
        <w:tc>
          <w:tcPr>
            <w:tcW w:w="2590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Reference period (years)*</w:t>
            </w:r>
          </w:p>
        </w:tc>
        <w:tc>
          <w:tcPr>
            <w:tcW w:w="1981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340" w:type="dxa"/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698" w:type="dxa"/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</w:tr>
      <w:tr w:rsidR="00AF2257" w:rsidRPr="00412EBA" w:rsidTr="00AF2257">
        <w:tc>
          <w:tcPr>
            <w:tcW w:w="469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2</w:t>
            </w:r>
          </w:p>
        </w:tc>
        <w:tc>
          <w:tcPr>
            <w:tcW w:w="2590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Discount rate** (%)</w:t>
            </w:r>
          </w:p>
        </w:tc>
        <w:tc>
          <w:tcPr>
            <w:tcW w:w="1981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340" w:type="dxa"/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698" w:type="dxa"/>
            <w:tcBorders>
              <w:bottom w:val="single" w:sz="4" w:space="0" w:color="auto"/>
            </w:tcBorders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</w:tr>
      <w:tr w:rsidR="00AF2257" w:rsidRPr="00412EBA" w:rsidTr="00AF2257">
        <w:trPr>
          <w:cantSplit/>
        </w:trPr>
        <w:tc>
          <w:tcPr>
            <w:tcW w:w="469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3</w:t>
            </w:r>
          </w:p>
        </w:tc>
        <w:tc>
          <w:tcPr>
            <w:tcW w:w="4571" w:type="dxa"/>
            <w:gridSpan w:val="2"/>
          </w:tcPr>
          <w:p w:rsidR="00AF2257" w:rsidRPr="008756D1" w:rsidRDefault="00AF2257" w:rsidP="0026613D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 xml:space="preserve">Total </w:t>
            </w:r>
            <w:r w:rsidR="0026613D" w:rsidRPr="008756D1">
              <w:rPr>
                <w:rFonts w:ascii="Open Sans" w:hAnsi="Open Sans" w:cs="Open Sans"/>
                <w:szCs w:val="23"/>
              </w:rPr>
              <w:t>cost of the project</w:t>
            </w:r>
            <w:r w:rsidRPr="008756D1">
              <w:rPr>
                <w:rFonts w:ascii="Open Sans" w:hAnsi="Open Sans" w:cs="Open Sans"/>
                <w:szCs w:val="23"/>
              </w:rPr>
              <w:t xml:space="preserve"> (undiscounted)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698" w:type="dxa"/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</w:tr>
      <w:tr w:rsidR="00AF2257" w:rsidRPr="00412EBA" w:rsidTr="00AF2257">
        <w:trPr>
          <w:cantSplit/>
        </w:trPr>
        <w:tc>
          <w:tcPr>
            <w:tcW w:w="469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4</w:t>
            </w:r>
          </w:p>
        </w:tc>
        <w:tc>
          <w:tcPr>
            <w:tcW w:w="4571" w:type="dxa"/>
            <w:gridSpan w:val="2"/>
          </w:tcPr>
          <w:p w:rsidR="00AF2257" w:rsidRPr="008756D1" w:rsidRDefault="0026613D" w:rsidP="0026613D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 xml:space="preserve">Total cost of the project </w:t>
            </w:r>
            <w:r w:rsidR="00AF2257" w:rsidRPr="008756D1">
              <w:rPr>
                <w:rFonts w:ascii="Open Sans" w:hAnsi="Open Sans" w:cs="Open Sans"/>
                <w:szCs w:val="23"/>
              </w:rPr>
              <w:t>(discounted)</w:t>
            </w:r>
          </w:p>
        </w:tc>
        <w:tc>
          <w:tcPr>
            <w:tcW w:w="2340" w:type="dxa"/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698" w:type="dxa"/>
            <w:tcBorders>
              <w:bottom w:val="single" w:sz="4" w:space="0" w:color="auto"/>
            </w:tcBorders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</w:tr>
      <w:tr w:rsidR="00AF2257" w:rsidRPr="00412EBA" w:rsidTr="00AF2257">
        <w:trPr>
          <w:cantSplit/>
        </w:trPr>
        <w:tc>
          <w:tcPr>
            <w:tcW w:w="469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5</w:t>
            </w:r>
          </w:p>
        </w:tc>
        <w:tc>
          <w:tcPr>
            <w:tcW w:w="4571" w:type="dxa"/>
            <w:gridSpan w:val="2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Residual value (undiscounted)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698" w:type="dxa"/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  <w:highlight w:val="lightGray"/>
              </w:rPr>
            </w:pPr>
          </w:p>
        </w:tc>
      </w:tr>
      <w:tr w:rsidR="00AF2257" w:rsidRPr="00412EBA" w:rsidTr="00AF2257">
        <w:trPr>
          <w:cantSplit/>
        </w:trPr>
        <w:tc>
          <w:tcPr>
            <w:tcW w:w="469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6</w:t>
            </w:r>
          </w:p>
        </w:tc>
        <w:tc>
          <w:tcPr>
            <w:tcW w:w="4571" w:type="dxa"/>
            <w:gridSpan w:val="2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Residual value (discounted)</w:t>
            </w:r>
          </w:p>
        </w:tc>
        <w:tc>
          <w:tcPr>
            <w:tcW w:w="2340" w:type="dxa"/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698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</w:tr>
      <w:tr w:rsidR="00AF2257" w:rsidRPr="00412EBA" w:rsidTr="00AF2257">
        <w:trPr>
          <w:cantSplit/>
        </w:trPr>
        <w:tc>
          <w:tcPr>
            <w:tcW w:w="469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7</w:t>
            </w:r>
          </w:p>
        </w:tc>
        <w:tc>
          <w:tcPr>
            <w:tcW w:w="4571" w:type="dxa"/>
            <w:gridSpan w:val="2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Revenue (discounted)</w:t>
            </w:r>
          </w:p>
        </w:tc>
        <w:tc>
          <w:tcPr>
            <w:tcW w:w="2340" w:type="dxa"/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698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</w:tr>
      <w:tr w:rsidR="00AF2257" w:rsidRPr="00412EBA" w:rsidTr="00AF2257">
        <w:trPr>
          <w:cantSplit/>
        </w:trPr>
        <w:tc>
          <w:tcPr>
            <w:tcW w:w="469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8</w:t>
            </w:r>
          </w:p>
        </w:tc>
        <w:tc>
          <w:tcPr>
            <w:tcW w:w="4571" w:type="dxa"/>
            <w:gridSpan w:val="2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Operating costs</w:t>
            </w:r>
          </w:p>
        </w:tc>
        <w:tc>
          <w:tcPr>
            <w:tcW w:w="2340" w:type="dxa"/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698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</w:tr>
      <w:tr w:rsidR="00AF2257" w:rsidRPr="00412EBA" w:rsidTr="00AF2257">
        <w:trPr>
          <w:cantSplit/>
        </w:trPr>
        <w:tc>
          <w:tcPr>
            <w:tcW w:w="469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9</w:t>
            </w:r>
          </w:p>
        </w:tc>
        <w:tc>
          <w:tcPr>
            <w:tcW w:w="4571" w:type="dxa"/>
            <w:gridSpan w:val="2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Net revenue (revenue – operating costs + residual value) (7)-(8)+(6)</w:t>
            </w:r>
          </w:p>
        </w:tc>
        <w:tc>
          <w:tcPr>
            <w:tcW w:w="2340" w:type="dxa"/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698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</w:tr>
      <w:tr w:rsidR="00AF2257" w:rsidRPr="00412EBA" w:rsidTr="00AF2257">
        <w:trPr>
          <w:cantSplit/>
        </w:trPr>
        <w:tc>
          <w:tcPr>
            <w:tcW w:w="469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 xml:space="preserve">10 </w:t>
            </w:r>
          </w:p>
        </w:tc>
        <w:tc>
          <w:tcPr>
            <w:tcW w:w="4571" w:type="dxa"/>
            <w:gridSpan w:val="2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 xml:space="preserve">Eligible expenditure (total </w:t>
            </w:r>
            <w:r w:rsidR="00A1328B" w:rsidRPr="008756D1">
              <w:rPr>
                <w:rFonts w:ascii="Open Sans" w:hAnsi="Open Sans" w:cs="Open Sans"/>
                <w:szCs w:val="23"/>
              </w:rPr>
              <w:t>project</w:t>
            </w:r>
            <w:r w:rsidRPr="008756D1">
              <w:rPr>
                <w:rFonts w:ascii="Open Sans" w:hAnsi="Open Sans" w:cs="Open Sans"/>
                <w:szCs w:val="23"/>
              </w:rPr>
              <w:t xml:space="preserve"> – net revenue) (4)-(9)</w:t>
            </w:r>
          </w:p>
        </w:tc>
        <w:tc>
          <w:tcPr>
            <w:tcW w:w="2340" w:type="dxa"/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698" w:type="dxa"/>
            <w:tcBorders>
              <w:bottom w:val="single" w:sz="4" w:space="0" w:color="auto"/>
            </w:tcBorders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</w:tr>
      <w:tr w:rsidR="00AF2257" w:rsidRPr="00412EBA" w:rsidTr="00AF2257">
        <w:trPr>
          <w:cantSplit/>
        </w:trPr>
        <w:tc>
          <w:tcPr>
            <w:tcW w:w="469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11</w:t>
            </w:r>
          </w:p>
        </w:tc>
        <w:tc>
          <w:tcPr>
            <w:tcW w:w="2590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  <w:r w:rsidRPr="008756D1">
              <w:rPr>
                <w:rFonts w:ascii="Open Sans" w:hAnsi="Open Sans" w:cs="Open Sans"/>
                <w:szCs w:val="23"/>
              </w:rPr>
              <w:t>Financing rate (%)=(10)/(4)</w:t>
            </w:r>
          </w:p>
        </w:tc>
        <w:tc>
          <w:tcPr>
            <w:tcW w:w="1981" w:type="dxa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340" w:type="dxa"/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  <w:tc>
          <w:tcPr>
            <w:tcW w:w="2698" w:type="dxa"/>
            <w:shd w:val="clear" w:color="auto" w:fill="F3F3F3"/>
          </w:tcPr>
          <w:p w:rsidR="00AF2257" w:rsidRPr="008756D1" w:rsidRDefault="00AF2257" w:rsidP="00D80370">
            <w:pPr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szCs w:val="23"/>
              </w:rPr>
            </w:pPr>
          </w:p>
        </w:tc>
      </w:tr>
    </w:tbl>
    <w:p w:rsidR="00AF2257" w:rsidRPr="008756D1" w:rsidRDefault="00AF2257" w:rsidP="00AF2257">
      <w:pPr>
        <w:autoSpaceDE w:val="0"/>
        <w:autoSpaceDN w:val="0"/>
        <w:adjustRightInd w:val="0"/>
        <w:spacing w:before="120" w:after="120"/>
        <w:jc w:val="both"/>
        <w:rPr>
          <w:rFonts w:ascii="Open Sans" w:hAnsi="Open Sans" w:cs="Open Sans"/>
          <w:szCs w:val="23"/>
        </w:rPr>
      </w:pPr>
      <w:r w:rsidRPr="008756D1">
        <w:rPr>
          <w:rFonts w:ascii="Open Sans" w:hAnsi="Open Sans" w:cs="Open Sans"/>
          <w:szCs w:val="23"/>
        </w:rPr>
        <w:t>* For the reference period please refer to Annex 1 to Commission Delegated Regulation (EU) No. 480/2014.</w:t>
      </w:r>
    </w:p>
    <w:p w:rsidR="00AF2257" w:rsidRPr="008756D1" w:rsidRDefault="00AF2257" w:rsidP="00AF2257">
      <w:pPr>
        <w:autoSpaceDE w:val="0"/>
        <w:autoSpaceDN w:val="0"/>
        <w:adjustRightInd w:val="0"/>
        <w:spacing w:before="120" w:after="120"/>
        <w:jc w:val="both"/>
        <w:rPr>
          <w:rFonts w:ascii="Open Sans" w:hAnsi="Open Sans" w:cs="Open Sans"/>
          <w:szCs w:val="23"/>
        </w:rPr>
      </w:pPr>
      <w:r w:rsidRPr="008756D1">
        <w:rPr>
          <w:rFonts w:ascii="Open Sans" w:hAnsi="Open Sans" w:cs="Open Sans"/>
          <w:szCs w:val="23"/>
        </w:rPr>
        <w:t>* *</w:t>
      </w:r>
      <w:r w:rsidRPr="008756D1">
        <w:rPr>
          <w:rFonts w:ascii="Open Sans" w:hAnsi="Open Sans" w:cs="Open Sans"/>
          <w:color w:val="222222"/>
          <w:shd w:val="clear" w:color="auto" w:fill="FFFFFF"/>
        </w:rPr>
        <w:t xml:space="preserve"> </w:t>
      </w:r>
      <w:r w:rsidRPr="008756D1">
        <w:rPr>
          <w:rFonts w:ascii="Open Sans" w:hAnsi="Open Sans" w:cs="Open Sans"/>
          <w:szCs w:val="23"/>
        </w:rPr>
        <w:t>The discount rate is the rate of return used in a discounted cash flow analysis to determine the present value of future cash flows.</w:t>
      </w:r>
      <w:r w:rsidR="007D02D2" w:rsidRPr="008756D1">
        <w:rPr>
          <w:rFonts w:ascii="Open Sans" w:hAnsi="Open Sans" w:cs="Open Sans"/>
        </w:rPr>
        <w:t xml:space="preserve"> </w:t>
      </w:r>
      <w:r w:rsidR="007D02D2" w:rsidRPr="008756D1">
        <w:rPr>
          <w:rFonts w:ascii="Open Sans" w:eastAsia="Times New Roman" w:hAnsi="Open Sans" w:cs="Open Sans"/>
          <w:lang w:val="en-US"/>
        </w:rPr>
        <w:t>According to Article 19 (Discounting of cash flows) of Commission Delegated Regulation (EU) No 480/2014, for the programming period 2014-2020, the European Commission recommends that a 4% discount rate in real terms is considered as the reference parameter for the real opportunity cost of capital in the long term.</w:t>
      </w:r>
      <w:r w:rsidRPr="008756D1">
        <w:rPr>
          <w:rFonts w:ascii="Open Sans" w:hAnsi="Open Sans" w:cs="Open Sans"/>
          <w:szCs w:val="23"/>
        </w:rPr>
        <w:t xml:space="preserve"> Where value added tax is not an eligible cost, the calculation of discounted net revenue shall be based on figures excluding value added tax. </w:t>
      </w:r>
    </w:p>
    <w:p w:rsidR="00AF2257" w:rsidRPr="008756D1" w:rsidRDefault="00AF2257" w:rsidP="00AF2257">
      <w:pPr>
        <w:autoSpaceDE w:val="0"/>
        <w:autoSpaceDN w:val="0"/>
        <w:adjustRightInd w:val="0"/>
        <w:spacing w:before="120" w:after="120"/>
        <w:rPr>
          <w:rFonts w:ascii="Open Sans" w:hAnsi="Open Sans" w:cs="Open Sans"/>
          <w:szCs w:val="23"/>
        </w:rPr>
      </w:pPr>
    </w:p>
    <w:p w:rsidR="00154820" w:rsidRPr="008756D1" w:rsidRDefault="00154820" w:rsidP="00AF2257">
      <w:pPr>
        <w:autoSpaceDE w:val="0"/>
        <w:autoSpaceDN w:val="0"/>
        <w:adjustRightInd w:val="0"/>
        <w:spacing w:before="120" w:after="120"/>
        <w:rPr>
          <w:rFonts w:ascii="Open Sans" w:hAnsi="Open Sans" w:cs="Open Sans"/>
          <w:szCs w:val="23"/>
        </w:rPr>
      </w:pPr>
    </w:p>
    <w:p w:rsidR="00154820" w:rsidRPr="008756D1" w:rsidRDefault="00154820" w:rsidP="00AF2257">
      <w:pPr>
        <w:autoSpaceDE w:val="0"/>
        <w:autoSpaceDN w:val="0"/>
        <w:adjustRightInd w:val="0"/>
        <w:spacing w:before="120" w:after="120"/>
        <w:rPr>
          <w:rFonts w:ascii="Open Sans" w:hAnsi="Open Sans" w:cs="Open Sans"/>
          <w:szCs w:val="23"/>
        </w:rPr>
      </w:pPr>
    </w:p>
    <w:p w:rsidR="00154820" w:rsidRPr="008756D1" w:rsidRDefault="00154820" w:rsidP="00154820">
      <w:pPr>
        <w:autoSpaceDE w:val="0"/>
        <w:autoSpaceDN w:val="0"/>
        <w:adjustRightInd w:val="0"/>
        <w:spacing w:before="120" w:after="120"/>
        <w:rPr>
          <w:rFonts w:ascii="Open Sans" w:hAnsi="Open Sans" w:cs="Open Sans"/>
          <w:szCs w:val="23"/>
        </w:rPr>
      </w:pPr>
      <w:r w:rsidRPr="008756D1">
        <w:rPr>
          <w:rFonts w:ascii="Open Sans" w:eastAsia="Times New Roman" w:hAnsi="Open Sans" w:cs="Open Sans"/>
          <w:lang w:val="en-US"/>
        </w:rPr>
        <w:t xml:space="preserve">6. </w:t>
      </w:r>
      <w:r w:rsidRPr="008756D1">
        <w:rPr>
          <w:rFonts w:ascii="Open Sans" w:hAnsi="Open Sans" w:cs="Open Sans"/>
          <w:szCs w:val="23"/>
        </w:rPr>
        <w:t>Please indicate if the project is estimated to generate revenues:</w:t>
      </w:r>
    </w:p>
    <w:p w:rsidR="00154820" w:rsidRPr="008756D1" w:rsidRDefault="00154820" w:rsidP="00154820">
      <w:pPr>
        <w:autoSpaceDE w:val="0"/>
        <w:autoSpaceDN w:val="0"/>
        <w:adjustRightInd w:val="0"/>
        <w:spacing w:before="120" w:after="120"/>
        <w:ind w:left="1440"/>
        <w:rPr>
          <w:rFonts w:ascii="Open Sans" w:hAnsi="Open Sans" w:cs="Open Sans"/>
          <w:szCs w:val="23"/>
        </w:rPr>
      </w:pPr>
      <w:r w:rsidRPr="00412EBA">
        <w:rPr>
          <w:rFonts w:ascii="Arial" w:hAnsi="Arial" w:cs="Arial"/>
          <w:szCs w:val="23"/>
        </w:rPr>
        <w:t>⁬</w:t>
      </w:r>
      <w:r w:rsidRPr="008756D1">
        <w:rPr>
          <w:rFonts w:ascii="Open Sans" w:hAnsi="Open Sans" w:cs="Open Sans"/>
          <w:szCs w:val="23"/>
        </w:rPr>
        <w:t xml:space="preserve">Yes – </w:t>
      </w:r>
      <w:r w:rsidRPr="008756D1">
        <w:rPr>
          <w:rFonts w:ascii="Open Sans" w:hAnsi="Open Sans" w:cs="Open Sans"/>
          <w:szCs w:val="23"/>
        </w:rPr>
        <w:sym w:font="Wingdings" w:char="F06F"/>
      </w:r>
    </w:p>
    <w:p w:rsidR="00154820" w:rsidRPr="008756D1" w:rsidRDefault="00154820" w:rsidP="00154820">
      <w:pPr>
        <w:autoSpaceDE w:val="0"/>
        <w:autoSpaceDN w:val="0"/>
        <w:adjustRightInd w:val="0"/>
        <w:spacing w:before="120" w:after="120"/>
        <w:ind w:left="1440"/>
        <w:rPr>
          <w:rFonts w:ascii="Open Sans" w:hAnsi="Open Sans" w:cs="Open Sans"/>
          <w:szCs w:val="23"/>
        </w:rPr>
      </w:pPr>
      <w:r w:rsidRPr="00412EBA">
        <w:rPr>
          <w:rFonts w:ascii="Arial" w:hAnsi="Arial" w:cs="Arial"/>
          <w:szCs w:val="23"/>
        </w:rPr>
        <w:t>⁬</w:t>
      </w:r>
      <w:r w:rsidRPr="008756D1">
        <w:rPr>
          <w:rFonts w:ascii="Open Sans" w:hAnsi="Open Sans" w:cs="Open Sans"/>
          <w:szCs w:val="23"/>
        </w:rPr>
        <w:t xml:space="preserve"> No – </w:t>
      </w:r>
      <w:r w:rsidRPr="008756D1">
        <w:rPr>
          <w:rFonts w:ascii="Open Sans" w:hAnsi="Open Sans" w:cs="Open Sans"/>
          <w:szCs w:val="23"/>
        </w:rPr>
        <w:sym w:font="Wingdings" w:char="F06F"/>
      </w:r>
    </w:p>
    <w:p w:rsidR="00154820" w:rsidRPr="008756D1" w:rsidRDefault="00154820" w:rsidP="00AF2257">
      <w:pPr>
        <w:autoSpaceDE w:val="0"/>
        <w:autoSpaceDN w:val="0"/>
        <w:adjustRightInd w:val="0"/>
        <w:spacing w:before="120" w:after="120"/>
        <w:rPr>
          <w:rFonts w:ascii="Open Sans" w:hAnsi="Open Sans" w:cs="Open Sans"/>
          <w:szCs w:val="23"/>
        </w:rPr>
      </w:pPr>
    </w:p>
    <w:p w:rsidR="00154820" w:rsidRPr="008756D1" w:rsidRDefault="00154820" w:rsidP="00154820">
      <w:pPr>
        <w:autoSpaceDE w:val="0"/>
        <w:autoSpaceDN w:val="0"/>
        <w:adjustRightInd w:val="0"/>
        <w:spacing w:before="120" w:after="120"/>
        <w:rPr>
          <w:rFonts w:ascii="Open Sans" w:hAnsi="Open Sans" w:cs="Open Sans"/>
          <w:szCs w:val="23"/>
          <w:lang w:val="en-US"/>
        </w:rPr>
      </w:pPr>
      <w:r w:rsidRPr="008756D1">
        <w:rPr>
          <w:rFonts w:ascii="Open Sans" w:hAnsi="Open Sans" w:cs="Open Sans"/>
          <w:szCs w:val="23"/>
          <w:lang w:val="en-US"/>
        </w:rPr>
        <w:t>In case the generation of revenues</w:t>
      </w:r>
      <w:r w:rsidR="00DA3E58" w:rsidRPr="008756D1">
        <w:rPr>
          <w:rFonts w:ascii="Open Sans" w:hAnsi="Open Sans" w:cs="Open Sans"/>
          <w:szCs w:val="23"/>
          <w:lang w:val="en-US"/>
        </w:rPr>
        <w:t xml:space="preserve"> is estimated</w:t>
      </w:r>
      <w:r w:rsidRPr="008756D1">
        <w:rPr>
          <w:rFonts w:ascii="Open Sans" w:hAnsi="Open Sans" w:cs="Open Sans"/>
          <w:szCs w:val="23"/>
          <w:lang w:val="en-US"/>
        </w:rPr>
        <w:t>, please detail.</w:t>
      </w:r>
    </w:p>
    <w:p w:rsidR="00154820" w:rsidRPr="008756D1" w:rsidRDefault="00154820" w:rsidP="00154820">
      <w:pPr>
        <w:autoSpaceDE w:val="0"/>
        <w:autoSpaceDN w:val="0"/>
        <w:adjustRightInd w:val="0"/>
        <w:spacing w:before="120" w:after="120"/>
        <w:rPr>
          <w:rFonts w:ascii="Open Sans" w:hAnsi="Open Sans" w:cs="Open Sans"/>
          <w:szCs w:val="23"/>
          <w:lang w:val="en-US"/>
        </w:rPr>
      </w:pPr>
      <w:r w:rsidRPr="008756D1">
        <w:rPr>
          <w:rFonts w:ascii="Open Sans" w:hAnsi="Open Sans" w:cs="Open Sans"/>
          <w:szCs w:val="23"/>
          <w:lang w:val="en-US"/>
        </w:rPr>
        <w:t>In case there are no estimated revenues, please provide information related to the financing source for the operating and maintenance costs.</w:t>
      </w:r>
    </w:p>
    <w:p w:rsidR="00154820" w:rsidRPr="008756D1" w:rsidRDefault="00154820" w:rsidP="00154820">
      <w:pPr>
        <w:autoSpaceDE w:val="0"/>
        <w:autoSpaceDN w:val="0"/>
        <w:adjustRightInd w:val="0"/>
        <w:spacing w:before="120" w:after="120"/>
        <w:rPr>
          <w:rFonts w:ascii="Open Sans" w:hAnsi="Open Sans" w:cs="Open Sans"/>
          <w:b/>
          <w:bCs/>
          <w:szCs w:val="23"/>
          <w:lang w:val="en-US"/>
        </w:rPr>
      </w:pPr>
    </w:p>
    <w:p w:rsidR="00AF2257" w:rsidRPr="008756D1" w:rsidRDefault="00AF2257" w:rsidP="00154820">
      <w:pPr>
        <w:autoSpaceDE w:val="0"/>
        <w:autoSpaceDN w:val="0"/>
        <w:adjustRightInd w:val="0"/>
        <w:spacing w:before="120" w:after="120"/>
        <w:rPr>
          <w:rFonts w:ascii="Open Sans" w:hAnsi="Open Sans" w:cs="Open Sans"/>
          <w:szCs w:val="23"/>
        </w:rPr>
      </w:pPr>
    </w:p>
    <w:p w:rsidR="00AF2257" w:rsidRPr="008756D1" w:rsidRDefault="00AF2257" w:rsidP="00AF2257">
      <w:pPr>
        <w:autoSpaceDE w:val="0"/>
        <w:autoSpaceDN w:val="0"/>
        <w:adjustRightInd w:val="0"/>
        <w:spacing w:before="120" w:after="120"/>
        <w:ind w:left="1440"/>
        <w:rPr>
          <w:rFonts w:ascii="Open Sans" w:hAnsi="Open Sans" w:cs="Open Sans"/>
          <w:szCs w:val="23"/>
        </w:rPr>
      </w:pPr>
    </w:p>
    <w:p w:rsidR="00AF2257" w:rsidRPr="008756D1" w:rsidRDefault="00AF2257" w:rsidP="006F4114">
      <w:pPr>
        <w:shd w:val="clear" w:color="auto" w:fill="FFFFFF"/>
        <w:spacing w:after="150" w:line="345" w:lineRule="atLeast"/>
        <w:rPr>
          <w:rFonts w:ascii="Open Sans" w:eastAsia="Times New Roman" w:hAnsi="Open Sans" w:cs="Open Sans"/>
          <w:lang w:val="en-US"/>
        </w:rPr>
      </w:pPr>
    </w:p>
    <w:sectPr w:rsidR="00AF2257" w:rsidRPr="008756D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ADC" w:rsidRDefault="00916ADC" w:rsidP="006F4114">
      <w:pPr>
        <w:spacing w:after="0" w:line="240" w:lineRule="auto"/>
      </w:pPr>
      <w:r>
        <w:separator/>
      </w:r>
    </w:p>
  </w:endnote>
  <w:endnote w:type="continuationSeparator" w:id="0">
    <w:p w:rsidR="00916ADC" w:rsidRDefault="00916ADC" w:rsidP="006F4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ADC" w:rsidRDefault="00916ADC" w:rsidP="006F4114">
      <w:pPr>
        <w:spacing w:after="0" w:line="240" w:lineRule="auto"/>
      </w:pPr>
      <w:r>
        <w:separator/>
      </w:r>
    </w:p>
  </w:footnote>
  <w:footnote w:type="continuationSeparator" w:id="0">
    <w:p w:rsidR="00916ADC" w:rsidRDefault="00916ADC" w:rsidP="006F4114">
      <w:pPr>
        <w:spacing w:after="0" w:line="240" w:lineRule="auto"/>
      </w:pPr>
      <w:r>
        <w:continuationSeparator/>
      </w:r>
    </w:p>
  </w:footnote>
  <w:footnote w:id="1">
    <w:p w:rsidR="006F4114" w:rsidRPr="007A6971" w:rsidRDefault="006F4114" w:rsidP="006F411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Minimum </w:t>
      </w:r>
      <w:r>
        <w:rPr>
          <w:lang w:val="en-US"/>
        </w:rPr>
        <w:t>option (no investment), maximum option (investment 100%), medium option (average investment); the recommended option will be indicated;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B32" w:rsidRPr="00657F6F" w:rsidRDefault="00735B32" w:rsidP="00735B32">
    <w:pPr>
      <w:jc w:val="center"/>
      <w:rPr>
        <w:rFonts w:ascii="Open Sans" w:hAnsi="Open Sans" w:cs="Open Sans"/>
        <w:lang w:val="en-GB"/>
      </w:rPr>
    </w:pPr>
    <w:r w:rsidRPr="00657F6F">
      <w:rPr>
        <w:rFonts w:ascii="Open Sans" w:hAnsi="Open Sans" w:cs="Open Sans"/>
        <w:lang w:val="en-GB"/>
      </w:rPr>
      <w:t>[</w:t>
    </w:r>
    <w:r w:rsidRPr="00657F6F">
      <w:rPr>
        <w:rFonts w:ascii="Open Sans" w:hAnsi="Open Sans" w:cs="Open Sans"/>
        <w:highlight w:val="lightGray"/>
        <w:lang w:val="en-GB"/>
      </w:rPr>
      <w:t xml:space="preserve">To be printed on the official letterhead of the </w:t>
    </w:r>
    <w:r w:rsidR="00E84004">
      <w:rPr>
        <w:rFonts w:ascii="Open Sans" w:hAnsi="Open Sans" w:cs="Open Sans"/>
        <w:highlight w:val="lightGray"/>
        <w:lang w:val="en-GB"/>
      </w:rPr>
      <w:t>(</w:t>
    </w:r>
    <w:r w:rsidRPr="00657F6F">
      <w:rPr>
        <w:rFonts w:ascii="Open Sans" w:hAnsi="Open Sans" w:cs="Open Sans"/>
        <w:highlight w:val="lightGray"/>
        <w:lang w:val="en-GB"/>
      </w:rPr>
      <w:t>Lead</w:t>
    </w:r>
    <w:r w:rsidR="00E84004">
      <w:rPr>
        <w:rFonts w:ascii="Open Sans" w:hAnsi="Open Sans" w:cs="Open Sans"/>
        <w:highlight w:val="lightGray"/>
        <w:lang w:val="en-GB"/>
      </w:rPr>
      <w:t>)</w:t>
    </w:r>
    <w:r w:rsidRPr="00657F6F">
      <w:rPr>
        <w:rFonts w:ascii="Open Sans" w:hAnsi="Open Sans" w:cs="Open Sans"/>
        <w:highlight w:val="lightGray"/>
        <w:lang w:val="en-GB"/>
      </w:rPr>
      <w:t xml:space="preserve"> Applicant organisation</w:t>
    </w:r>
    <w:r w:rsidRPr="00657F6F">
      <w:rPr>
        <w:rFonts w:ascii="Open Sans" w:hAnsi="Open Sans" w:cs="Open Sans"/>
        <w:lang w:val="en-GB"/>
      </w:rPr>
      <w:t>]</w:t>
    </w:r>
  </w:p>
  <w:p w:rsidR="00735B32" w:rsidRDefault="00735B32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solya C.">
    <w15:presenceInfo w15:providerId="None" w15:userId="Orsolya 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114"/>
    <w:rsid w:val="0000158C"/>
    <w:rsid w:val="000A0047"/>
    <w:rsid w:val="000B531A"/>
    <w:rsid w:val="000C6A5F"/>
    <w:rsid w:val="00154820"/>
    <w:rsid w:val="001A7FF7"/>
    <w:rsid w:val="001D6CF3"/>
    <w:rsid w:val="00207014"/>
    <w:rsid w:val="0026613D"/>
    <w:rsid w:val="003379E6"/>
    <w:rsid w:val="00412EBA"/>
    <w:rsid w:val="00493DC6"/>
    <w:rsid w:val="00496D33"/>
    <w:rsid w:val="005C5F3B"/>
    <w:rsid w:val="00651EDE"/>
    <w:rsid w:val="0067054C"/>
    <w:rsid w:val="006B446F"/>
    <w:rsid w:val="006F4114"/>
    <w:rsid w:val="006F6DB0"/>
    <w:rsid w:val="00735B32"/>
    <w:rsid w:val="0076418B"/>
    <w:rsid w:val="007D02D2"/>
    <w:rsid w:val="008137C8"/>
    <w:rsid w:val="008756D1"/>
    <w:rsid w:val="00916ADC"/>
    <w:rsid w:val="0097496A"/>
    <w:rsid w:val="00A1328B"/>
    <w:rsid w:val="00AC5DF8"/>
    <w:rsid w:val="00AF2257"/>
    <w:rsid w:val="00BD6C29"/>
    <w:rsid w:val="00C0341F"/>
    <w:rsid w:val="00C17D99"/>
    <w:rsid w:val="00D05279"/>
    <w:rsid w:val="00DA3E58"/>
    <w:rsid w:val="00DC188F"/>
    <w:rsid w:val="00DD31E4"/>
    <w:rsid w:val="00E42613"/>
    <w:rsid w:val="00E60510"/>
    <w:rsid w:val="00E84004"/>
    <w:rsid w:val="00EA1DB9"/>
    <w:rsid w:val="00FC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114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F411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4114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6F411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2D2"/>
    <w:rPr>
      <w:rFonts w:ascii="Tahoma" w:hAnsi="Tahoma" w:cs="Tahoma"/>
      <w:sz w:val="16"/>
      <w:szCs w:val="16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735B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B32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735B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B32"/>
    <w:rPr>
      <w:lang w:val="ro-RO"/>
    </w:rPr>
  </w:style>
  <w:style w:type="paragraph" w:styleId="BodyText">
    <w:name w:val="Body Text"/>
    <w:basedOn w:val="Normal"/>
    <w:link w:val="BodyTextChar"/>
    <w:semiHidden/>
    <w:rsid w:val="00DD31E4"/>
    <w:pPr>
      <w:autoSpaceDE w:val="0"/>
      <w:autoSpaceDN w:val="0"/>
      <w:adjustRightInd w:val="0"/>
      <w:spacing w:before="120" w:after="120" w:line="240" w:lineRule="auto"/>
      <w:jc w:val="both"/>
    </w:pPr>
    <w:rPr>
      <w:rFonts w:ascii="TimesNewRomanPS-ItalicMT" w:eastAsia="Times New Roman" w:hAnsi="TimesNewRomanPS-ItalicMT" w:cs="Times New Roman"/>
      <w:i/>
      <w:iCs/>
      <w:sz w:val="23"/>
      <w:szCs w:val="23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DD31E4"/>
    <w:rPr>
      <w:rFonts w:ascii="TimesNewRomanPS-ItalicMT" w:eastAsia="Times New Roman" w:hAnsi="TimesNewRomanPS-ItalicMT" w:cs="Times New Roman"/>
      <w:i/>
      <w:i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114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F411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4114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6F411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2D2"/>
    <w:rPr>
      <w:rFonts w:ascii="Tahoma" w:hAnsi="Tahoma" w:cs="Tahoma"/>
      <w:sz w:val="16"/>
      <w:szCs w:val="16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735B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B32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735B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B32"/>
    <w:rPr>
      <w:lang w:val="ro-RO"/>
    </w:rPr>
  </w:style>
  <w:style w:type="paragraph" w:styleId="BodyText">
    <w:name w:val="Body Text"/>
    <w:basedOn w:val="Normal"/>
    <w:link w:val="BodyTextChar"/>
    <w:semiHidden/>
    <w:rsid w:val="00DD31E4"/>
    <w:pPr>
      <w:autoSpaceDE w:val="0"/>
      <w:autoSpaceDN w:val="0"/>
      <w:adjustRightInd w:val="0"/>
      <w:spacing w:before="120" w:after="120" w:line="240" w:lineRule="auto"/>
      <w:jc w:val="both"/>
    </w:pPr>
    <w:rPr>
      <w:rFonts w:ascii="TimesNewRomanPS-ItalicMT" w:eastAsia="Times New Roman" w:hAnsi="TimesNewRomanPS-ItalicMT" w:cs="Times New Roman"/>
      <w:i/>
      <w:iCs/>
      <w:sz w:val="23"/>
      <w:szCs w:val="23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DD31E4"/>
    <w:rPr>
      <w:rFonts w:ascii="TimesNewRomanPS-ItalicMT" w:eastAsia="Times New Roman" w:hAnsi="TimesNewRomanPS-ItalicMT" w:cs="Times New Roman"/>
      <w:i/>
      <w:i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8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</dc:creator>
  <cp:lastModifiedBy>Monica Verdes</cp:lastModifiedBy>
  <cp:revision>5</cp:revision>
  <dcterms:created xsi:type="dcterms:W3CDTF">2016-07-04T13:49:00Z</dcterms:created>
  <dcterms:modified xsi:type="dcterms:W3CDTF">2016-07-05T14:48:00Z</dcterms:modified>
</cp:coreProperties>
</file>